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:rsidTr="00584E71">
        <w:tc>
          <w:tcPr>
            <w:tcW w:w="4633" w:type="dxa"/>
            <w:shd w:val="clear" w:color="auto" w:fill="FFFFFF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 Biztosíték (Bankgarancia) nyilatkozat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>MVM Partner Zrt.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A3755D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Tudomásul vesszük, hogy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továbbiakban „</w:t>
            </w:r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r>
              <w:rPr>
                <w:rFonts w:ascii="Arial" w:hAnsi="Arial" w:cs="Arial"/>
                <w:sz w:val="20"/>
                <w:szCs w:val="20"/>
              </w:rPr>
              <w:t>“)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részt szeretne venni az MVM Partner Zrt.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(a továbbiakban „</w:t>
            </w:r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“) 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 szervezett</w:t>
            </w:r>
            <w:r w:rsidRPr="00CA0FFC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A5578B" w:rsidRPr="0036380C">
              <w:rPr>
                <w:rFonts w:ascii="Arial" w:hAnsi="Arial" w:cs="Arial"/>
                <w:sz w:val="20"/>
                <w:szCs w:val="20"/>
              </w:rPr>
              <w:t>2019</w:t>
            </w:r>
            <w:r w:rsidR="00345221" w:rsidRPr="0036380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3755D">
              <w:rPr>
                <w:rFonts w:ascii="Arial" w:hAnsi="Arial" w:cs="Arial"/>
                <w:sz w:val="20"/>
                <w:szCs w:val="20"/>
              </w:rPr>
              <w:t>november</w:t>
            </w:r>
            <w:r w:rsidR="00345221" w:rsidRPr="003638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755D">
              <w:rPr>
                <w:rFonts w:ascii="Arial" w:hAnsi="Arial" w:cs="Arial"/>
                <w:sz w:val="20"/>
                <w:szCs w:val="20"/>
              </w:rPr>
              <w:t>20</w:t>
            </w:r>
            <w:r w:rsidR="00345221" w:rsidRPr="0036380C">
              <w:rPr>
                <w:rFonts w:ascii="Arial" w:hAnsi="Arial" w:cs="Arial"/>
                <w:sz w:val="20"/>
                <w:szCs w:val="20"/>
              </w:rPr>
              <w:t>-</w:t>
            </w:r>
            <w:r w:rsidR="00A3755D">
              <w:rPr>
                <w:rFonts w:ascii="Arial" w:hAnsi="Arial" w:cs="Arial"/>
                <w:sz w:val="20"/>
                <w:szCs w:val="20"/>
              </w:rPr>
              <w:t>á</w:t>
            </w:r>
            <w:r w:rsidRPr="0036380C">
              <w:rPr>
                <w:rFonts w:ascii="Arial" w:hAnsi="Arial" w:cs="Arial"/>
                <w:sz w:val="20"/>
                <w:szCs w:val="20"/>
                <w:lang w:val="de-DE"/>
              </w:rPr>
              <w:t>n</w:t>
            </w:r>
            <w:r w:rsidRPr="00CA0FFC">
              <w:rPr>
                <w:rFonts w:ascii="Arial" w:hAnsi="Arial" w:cs="Arial"/>
                <w:sz w:val="20"/>
                <w:szCs w:val="20"/>
                <w:lang w:val="de-DE"/>
              </w:rPr>
              <w:t xml:space="preserve"> tartandó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villamos energia Árverésen.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>] (a továbbiakban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az Ajánlattevő megbízása alapján mint garantőr feltétel nélküli és visszavonhatatlan kötelezettséget vállalunk, hogy Önöknek megfizetünk nem több, mint 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Ft-ot,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forintot)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 Önök első írásos felszólítására, tekintet nélkül akár az Ajánlattevő, akár a Bank, akár más fél bárminemű kifogására, amennyiben Önök kijelentik, hogy a követelt összeg Önöket az alábbi feltételek valamelyike szerint megilleti: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0331C7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12A48">
              <w:rPr>
                <w:rFonts w:ascii="Arial" w:hAnsi="Arial"/>
                <w:sz w:val="20"/>
                <w:lang w:val="en-US"/>
              </w:rPr>
              <w:t>Az Ajánlattevő az Eredményhirdetéstől számított 5. (ötö</w:t>
            </w:r>
            <w:bookmarkStart w:id="0" w:name="_GoBack"/>
            <w:bookmarkEnd w:id="0"/>
            <w:r w:rsidRPr="00612A48">
              <w:rPr>
                <w:rFonts w:ascii="Arial" w:hAnsi="Arial"/>
                <w:sz w:val="20"/>
                <w:lang w:val="en-US"/>
              </w:rPr>
              <w:t>dik) munkanapig (beleértve az 5. napot is) kézhez vette az Ajánlatkérő által elkészített Egyedi Szerződést, de elmulasztotta vagy elutasította az Egyedi Szerződés aláírását az Ajánlattételi Felhívásban meghatározott időszakon belül.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12A48">
              <w:rPr>
                <w:rFonts w:ascii="Arial" w:hAnsi="Arial" w:cs="Arial"/>
                <w:sz w:val="20"/>
                <w:lang w:val="en-US"/>
              </w:rPr>
              <w:t>A nyertes Ajánlattevő az Eredményhirdetést követő 8 (nyolc) munkanapon belül (beleértve a 8. napot is) nem adta át az Ajánlatkérőnek a Teljesítési Biztosítékot.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E garancia részben vagy egészben, átutalással érvényesíthető a hozzánk írásban benyújtott megfelelő tartalmú követelésük beérkezését követő 3 (három)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banki </w:t>
            </w:r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napon belül.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A3755D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12A48">
              <w:rPr>
                <w:rFonts w:ascii="Arial" w:hAnsi="Arial"/>
                <w:sz w:val="20"/>
                <w:lang w:val="en-US"/>
              </w:rPr>
              <w:t xml:space="preserve">Jelen garancia a kibocsátása napjától legkésőbb az Eredményhirdetés napját követő 12. (tizenkettedik) munkanapig (beleértve a 12. napot is), </w:t>
            </w:r>
            <w:r w:rsidRPr="00073C74">
              <w:rPr>
                <w:rFonts w:ascii="Arial" w:hAnsi="Arial"/>
                <w:sz w:val="20"/>
                <w:lang w:val="en-US"/>
              </w:rPr>
              <w:t xml:space="preserve">azaz </w:t>
            </w:r>
            <w:r w:rsidR="001115FD" w:rsidRPr="0036380C">
              <w:rPr>
                <w:rFonts w:ascii="Arial" w:hAnsi="Arial" w:cs="Arial"/>
                <w:b/>
                <w:sz w:val="20"/>
                <w:szCs w:val="20"/>
                <w:lang w:val="hu-HU"/>
              </w:rPr>
              <w:t>2019</w:t>
            </w:r>
            <w:r w:rsidR="002F47CF" w:rsidRPr="0036380C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. </w:t>
            </w:r>
            <w:r w:rsidR="00A3755D">
              <w:rPr>
                <w:rFonts w:ascii="Arial" w:hAnsi="Arial" w:cs="Arial"/>
                <w:b/>
                <w:sz w:val="20"/>
                <w:szCs w:val="20"/>
                <w:lang w:val="hu-HU"/>
              </w:rPr>
              <w:t>december</w:t>
            </w:r>
            <w:r w:rsidR="001A40B7" w:rsidRPr="0036380C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A3755D">
              <w:rPr>
                <w:rFonts w:ascii="Arial" w:hAnsi="Arial" w:cs="Arial"/>
                <w:b/>
                <w:sz w:val="20"/>
                <w:szCs w:val="20"/>
                <w:lang w:val="hu-HU"/>
              </w:rPr>
              <w:t>10</w:t>
            </w:r>
            <w:r w:rsidR="001115FD" w:rsidRPr="0036380C">
              <w:rPr>
                <w:rFonts w:ascii="Arial" w:hAnsi="Arial" w:cs="Arial"/>
                <w:b/>
                <w:sz w:val="20"/>
                <w:szCs w:val="20"/>
                <w:lang w:val="hu-HU"/>
              </w:rPr>
              <w:t>-</w:t>
            </w:r>
            <w:r w:rsidRPr="0036380C">
              <w:rPr>
                <w:rFonts w:ascii="Arial" w:hAnsi="Arial" w:cs="Arial"/>
                <w:b/>
                <w:sz w:val="20"/>
                <w:lang w:val="en-US"/>
              </w:rPr>
              <w:t>ig</w:t>
            </w:r>
            <w:r w:rsidRPr="00612A48">
              <w:rPr>
                <w:rFonts w:ascii="Arial" w:hAnsi="Arial" w:cs="Arial"/>
                <w:sz w:val="20"/>
                <w:lang w:val="en-US"/>
              </w:rPr>
              <w:t xml:space="preserve"> marad érvényben, és a fentiekhez kapcsolódó bármilyen követelésnek a fent jelzett dátumig a Bankhoz be kell érkeznie.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DB6" w:rsidRDefault="003A3DB6">
      <w:r>
        <w:separator/>
      </w:r>
    </w:p>
  </w:endnote>
  <w:endnote w:type="continuationSeparator" w:id="0">
    <w:p w:rsidR="003A3DB6" w:rsidRDefault="003A3DB6">
      <w:r>
        <w:continuationSeparator/>
      </w:r>
    </w:p>
  </w:endnote>
  <w:endnote w:type="continuationNotice" w:id="1">
    <w:p w:rsidR="003A3DB6" w:rsidRDefault="003A3DB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B81887" w:rsidRPr="00B81887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DB6" w:rsidRDefault="003A3DB6">
      <w:r>
        <w:separator/>
      </w:r>
    </w:p>
  </w:footnote>
  <w:footnote w:type="continuationSeparator" w:id="0">
    <w:p w:rsidR="003A3DB6" w:rsidRDefault="003A3DB6">
      <w:r>
        <w:continuationSeparator/>
      </w:r>
    </w:p>
  </w:footnote>
  <w:footnote w:type="continuationNotice" w:id="1">
    <w:p w:rsidR="003A3DB6" w:rsidRDefault="003A3DB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:rsidTr="00792F99">
      <w:tc>
        <w:tcPr>
          <w:tcW w:w="9555" w:type="dxa"/>
          <w:shd w:val="clear" w:color="auto" w:fill="FFFFFF"/>
        </w:tcPr>
        <w:p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I.3.A. sz. Melléklet: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73C74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15FD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348"/>
    <w:rsid w:val="001848DB"/>
    <w:rsid w:val="00184D2E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0B7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47CF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5221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80C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85F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4572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16BF0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6C6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3755D"/>
    <w:rsid w:val="00A41C54"/>
    <w:rsid w:val="00A41FC2"/>
    <w:rsid w:val="00A424B3"/>
    <w:rsid w:val="00A448D0"/>
    <w:rsid w:val="00A4664A"/>
    <w:rsid w:val="00A476A0"/>
    <w:rsid w:val="00A5072B"/>
    <w:rsid w:val="00A51CB8"/>
    <w:rsid w:val="00A5578B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28F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887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0FFC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2A8E"/>
    <w:rsid w:val="00CC3865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47F6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13C9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966A1BC6-7CA2-4A18-A7BB-21419A63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677CA-957C-4AC5-967A-25C7EBDD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19</TotalTime>
  <Pages>1</Pages>
  <Words>245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Bakóné Vincze Éva</cp:lastModifiedBy>
  <cp:revision>25</cp:revision>
  <cp:lastPrinted>2017-08-08T10:21:00Z</cp:lastPrinted>
  <dcterms:created xsi:type="dcterms:W3CDTF">2017-08-09T13:48:00Z</dcterms:created>
  <dcterms:modified xsi:type="dcterms:W3CDTF">2019-10-22T08:15:00Z</dcterms:modified>
</cp:coreProperties>
</file>